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bottom w:val="nil"/>
          <w:left w:val="nil"/>
          <w:right w:val="nil"/>
          <w:insideH w:val="nil"/>
          <w:insideV w:val="nil"/>
        </w:tblBorders>
      </w:tblPr>
      <w:tblGrid>
        <w:gridCol w:w="2948"/>
        <w:gridCol w:w="340"/>
        <w:gridCol w:w="7257"/>
      </w:tblGrid>
      <w:tr>
        <w:tc>
          <w:tcPr>
            <w:tcW w:type="dxa" w:w="2948"/>
            <w:vAlign w:val="top"/>
            <w:tcMar>
              <w:top w:w="150" w:type="dxa"/>
              <w:bottom w:w="150" w:type="dxa"/>
              <w:left w:w="170" w:type="dxa"/>
              <w:right w:w="170" w:type="dxa"/>
            </w:tcMar>
            <w:shd w:fill="EFF3F7"/>
          </w:tcPr>
          <w:p>
            <w:pPr>
              <w:spacing w:after="0" w:line="20" w:lineRule="exact" w:before="0"/>
            </w:pPr>
          </w:p>
          <w:p>
            <w:pPr>
              <w:keepNext w:val="0"/>
              <w:widowControl w:val="0"/>
              <w:spacing w:before="0" w:after="140" w:line="240" w:lineRule="auto"/>
              <w:snapToGrid w:val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390418"/>
                  <wp:docPr id="1" name="Picture 1" descr="Adrian Lv - clear portrai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tGPT Image 2026年9月6日 15_06_52.png"/>
                          <pic:cNvPicPr/>
                        </pic:nvPicPr>
                        <pic:blipFill>
                          <a:blip r:embed="rId20"/>
                          <a:srcRect l="7031" r="7031" t="0" b="23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3904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widowControl w:val="0"/>
              <w:spacing w:before="0" w:after="80" w:line="52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38"/>
              </w:rPr>
              <w:t>吕俊泽</w:t>
            </w:r>
          </w:p>
          <w:p>
            <w:pPr>
              <w:keepNext w:val="0"/>
              <w:widowControl w:val="0"/>
              <w:spacing w:before="0" w:after="180" w:line="40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173A60"/>
                <w:sz w:val="32"/>
              </w:rPr>
              <w:t>Adrian Lv</w:t>
            </w:r>
          </w:p>
          <w:p>
            <w:pPr>
              <w:keepNext w:val="0"/>
              <w:widowControl w:val="0"/>
              <w:spacing w:before="0" w:after="10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283748"/>
                <w:sz w:val="20"/>
              </w:rPr>
              <w:t xml:space="preserve">DuskRain </w:t>
            </w: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20"/>
              </w:rPr>
              <w:t>创始人</w:t>
            </w:r>
            <w:r>
              <w:rPr>
                <w:rFonts w:ascii="Times New Roman" w:hAnsi="Times New Roman" w:cs="Times New Roman" w:eastAsia="Times New Roman" w:hint="default"/>
                <w:b/>
                <w:color w:val="283748"/>
                <w:sz w:val="20"/>
              </w:rPr>
              <w:br/>
            </w: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20"/>
              </w:rPr>
              <w:t>独立开发者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联系信息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0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20"/>
                </w:rPr>
                <w:t>prdusk.com@gmail.com</w:t>
              </w:r>
            </w:hyperlink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1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20"/>
                </w:rPr>
                <w:t>duskrain.cn</w:t>
              </w:r>
            </w:hyperlink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2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20"/>
                </w:rPr>
                <w:t>github.com/ETO-ze</w:t>
              </w:r>
            </w:hyperlink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教育背景</w:t>
            </w:r>
          </w:p>
          <w:p>
            <w:pPr>
              <w:keepNext w:val="0"/>
              <w:widowControl w:val="0"/>
              <w:spacing w:before="0" w:after="8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20"/>
              </w:rPr>
              <w:t>中国民航大学</w:t>
            </w:r>
          </w:p>
          <w:p>
            <w:pPr>
              <w:keepNext w:val="0"/>
              <w:widowControl w:val="0"/>
              <w:spacing w:before="0" w:after="8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飞行器动力工程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本科在读</w:t>
            </w:r>
          </w:p>
          <w:p>
            <w:pPr>
              <w:keepNext w:val="0"/>
              <w:widowControl w:val="0"/>
              <w:spacing w:before="0" w:after="2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20"/>
              </w:rPr>
              <w:t>2023.09 - 2027.06</w:t>
            </w:r>
          </w:p>
          <w:p>
            <w:pPr>
              <w:keepNext w:val="0"/>
              <w:widowControl w:val="0"/>
              <w:spacing w:before="0" w:after="40" w:line="26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17"/>
              </w:rPr>
              <w:t>预计毕业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技术能力</w:t>
            </w:r>
          </w:p>
          <w:p>
            <w:pPr>
              <w:keepNext w:val="0"/>
              <w:widowControl w:val="0"/>
              <w:spacing w:before="12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语言与脚本</w:t>
            </w:r>
          </w:p>
          <w:p>
            <w:pPr>
              <w:keepNext w:val="0"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Python / JavaScript / SQL</w:t>
              <w:br/>
              <w:t>HTML / CSS / PowerShell</w:t>
            </w:r>
          </w:p>
          <w:p>
            <w:pPr>
              <w:keepNext w:val="0"/>
              <w:widowControl w:val="0"/>
              <w:spacing w:before="120" w:after="6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19"/>
              </w:rPr>
              <w:t xml:space="preserve">Web </w:t>
            </w: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与后端</w:t>
            </w:r>
          </w:p>
          <w:p>
            <w:pPr>
              <w:keepNext w:val="0"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Vue 3 / Vite / FastAPI</w:t>
              <w:br/>
              <w:t>SQLite / REST API / OAuth</w:t>
            </w:r>
          </w:p>
          <w:p>
            <w:pPr>
              <w:keepNext w:val="0"/>
              <w:widowControl w:val="0"/>
              <w:spacing w:before="12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桌面与设备</w:t>
            </w:r>
          </w:p>
          <w:p>
            <w:pPr>
              <w:keepNext w:val="0"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PyInstaller / USB CDC / UART</w:t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设备发现、重连与状态同步</w:t>
            </w:r>
          </w:p>
          <w:p>
            <w:pPr>
              <w:keepNext w:val="0"/>
              <w:widowControl w:val="0"/>
              <w:spacing w:before="12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树莓派与嵌入式</w:t>
            </w:r>
          </w:p>
          <w:p>
            <w:pPr>
              <w:keepNext w:val="0"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树莓派开发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/ Raspberry Pi 4B</w:t>
              <w:br/>
              <w:t>ESP32 / MicroPython / I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²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C</w:t>
              <w:br/>
              <w:t>OLED / LED / EasyEDA</w:t>
            </w:r>
          </w:p>
          <w:p>
            <w:pPr>
              <w:keepNext w:val="0"/>
              <w:widowControl w:val="0"/>
              <w:spacing w:before="12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部署与维护</w:t>
            </w:r>
          </w:p>
          <w:p>
            <w:pPr>
              <w:keepNext w:val="0"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Linux / Windows / Docker</w:t>
              <w:br/>
              <w:t>Docker Compose / Git / GitHub</w:t>
              <w:br/>
              <w:t xml:space="preserve">Nginx / OpenResty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反向代理</w:t>
            </w:r>
          </w:p>
        </w:tc>
        <w:tc>
          <w:tcPr>
            <w:tcW w:type="dxa" w:w="340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after="0" w:line="20" w:lineRule="exact" w:before="0"/>
            </w:pPr>
          </w:p>
        </w:tc>
        <w:tc>
          <w:tcPr>
            <w:tcW w:type="dxa" w:w="7257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after="0" w:line="20" w:lineRule="exact" w:before="0"/>
            </w:pPr>
          </w:p>
          <w:p>
            <w:pPr>
              <w:keepNext w:val="0"/>
              <w:widowControl w:val="0"/>
              <w:spacing w:before="0" w:after="100" w:line="64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46"/>
              </w:rPr>
              <w:t>个人简历</w:t>
            </w:r>
          </w:p>
          <w:p>
            <w:pPr>
              <w:keepNext w:val="0"/>
              <w:widowControl w:val="0"/>
              <w:spacing w:before="0" w:after="2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21"/>
              </w:rPr>
              <w:t xml:space="preserve">Web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1"/>
              </w:rPr>
              <w:t>全栈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21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1"/>
              </w:rPr>
              <w:t>桌面软件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21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1"/>
              </w:rPr>
              <w:t>软硬件协同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个人简介</w:t>
            </w:r>
          </w:p>
          <w:p>
            <w:pPr>
              <w:keepNext w:val="0"/>
              <w:widowControl w:val="0"/>
              <w:spacing w:before="0" w:after="120" w:line="304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中国民航大学飞行器动力工程本科生，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DuskRain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创始人、独立开发者。以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Python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为主要开发工具，结合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Vue 3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FastAPI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Docker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、树莓派与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ESP32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开发，完成从应用实现、软硬件联调到部署分发的项目实践。</w:t>
            </w:r>
          </w:p>
          <w:p>
            <w:pPr>
              <w:keepNext w:val="0"/>
              <w:widowControl w:val="0"/>
              <w:spacing w:before="0" w:after="40" w:line="304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围绕实际需求开发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Web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应用、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Windows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工具、嵌入式设备与数据实验流程，关注账户与数据归属、设备断连恢复、通信状态同步，以及系统持续维护和实验复现。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独立开发经历</w:t>
            </w:r>
          </w:p>
          <w:p>
            <w:pPr>
              <w:keepNext w:val="0"/>
              <w:widowControl w:val="0"/>
              <w:spacing w:before="0" w:after="40" w:line="30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283748"/>
                <w:sz w:val="22"/>
              </w:rPr>
              <w:t xml:space="preserve">DuskRain | </w:t>
            </w: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22"/>
              </w:rPr>
              <w:t>创始人、独立开发者</w:t>
            </w:r>
          </w:p>
          <w:p>
            <w:pPr>
              <w:keepNext w:val="0"/>
              <w:widowControl w:val="0"/>
              <w:spacing w:before="0" w:after="100" w:line="26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9"/>
              </w:rPr>
              <w:t xml:space="preserve">2025 -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19"/>
              </w:rPr>
              <w:t>至今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9"/>
              </w:rPr>
              <w:t xml:space="preserve">  / 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19"/>
              </w:rPr>
              <w:t>个人技术平台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创建并维护个人网站与应用服务，承担需求梳理、前后端开发、服务器部署、版本发布和日常维护。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配置账户访问、反向代理和运行环境，管理公开源码与私有凭据、配置及业务数据的边界，持续整合应用与工程作品。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代表项目</w:t>
            </w:r>
          </w:p>
          <w:p>
            <w:pPr>
              <w:keepNext/>
              <w:widowControl w:val="0"/>
              <w:spacing w:before="180" w:after="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24"/>
              </w:rPr>
              <w:t>DuskRain Food Map</w:t>
            </w:r>
          </w:p>
          <w:p>
            <w:pPr>
              <w:keepNext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19"/>
              </w:rPr>
              <w:t>跨地图美食资料与评价系统</w:t>
            </w:r>
          </w:p>
          <w:p>
            <w:pPr>
              <w:keepNext/>
              <w:widowControl w:val="0"/>
              <w:spacing w:before="0" w:after="40" w:line="24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8"/>
              </w:rPr>
              <w:t>Vue 3 / Vite / FastAPI / SQLite / OAuth / Docker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3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17"/>
                </w:rPr>
                <w:t>GitHub / duskrain-food-map</w:t>
              </w:r>
            </w:hyperlink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独立开发地图浏览、条件筛选、移动端界面及作者工作台，将高德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/ Google POI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与本站评分、图片和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Markdown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长评关联。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以稳定账户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ID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维护记录归属，区分访客、作者和管理员权限；实现邀请激活、密码管理和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Google / GitHub OAuth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绑定。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采用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Argon2id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密码哈希与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OAuth state / PKCE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；处理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GCJ-02 / WGS84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坐标差异，并以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Docker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和反向代理部署。</w:t>
            </w:r>
          </w:p>
          <w:p>
            <w:pPr>
              <w:keepNext/>
              <w:widowControl w:val="0"/>
              <w:spacing w:before="180" w:after="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24"/>
              </w:rPr>
              <w:t>Codex OLED Status Display</w:t>
            </w:r>
          </w:p>
          <w:p>
            <w:pPr>
              <w:keepNext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19"/>
              </w:rPr>
              <w:t>桌面任务状态显示设备</w:t>
            </w:r>
          </w:p>
          <w:p>
            <w:pPr>
              <w:keepNext/>
              <w:widowControl w:val="0"/>
              <w:spacing w:before="0" w:after="40" w:line="24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8"/>
              </w:rPr>
              <w:t>RP2040 / MicroPython / Python / USB CDC / EasyEDA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4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17"/>
                </w:rPr>
                <w:t>GitHub / codex-oled-status-display</w:t>
              </w:r>
            </w:hyperlink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设计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RP2040-Zero OLED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载板与接口布局，开发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MicroPython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固件，驱动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SH1106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状态画面、动画和三色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LED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构建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Python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本地事件桥接与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USB CDC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通信，转换任务状态和任务计数；实现串口自动识别、重连与状态重发。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提供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Windows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预览、便携程序、安装与启动流程；限定设备协议字段，避免提示词、回复正文及工具参数传入外设。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bottom w:val="nil"/>
          <w:left w:val="nil"/>
          <w:right w:val="nil"/>
          <w:insideH w:val="nil"/>
          <w:insideV w:val="nil"/>
        </w:tblBorders>
      </w:tblPr>
      <w:tblGrid>
        <w:gridCol w:w="2948"/>
        <w:gridCol w:w="340"/>
        <w:gridCol w:w="7257"/>
      </w:tblGrid>
      <w:tr>
        <w:tc>
          <w:tcPr>
            <w:tcW w:type="dxa" w:w="2948"/>
            <w:vAlign w:val="top"/>
            <w:tcMar>
              <w:top w:w="150" w:type="dxa"/>
              <w:bottom w:w="150" w:type="dxa"/>
              <w:left w:w="170" w:type="dxa"/>
              <w:right w:w="170" w:type="dxa"/>
            </w:tcMar>
            <w:shd w:fill="EFF3F7"/>
          </w:tcPr>
          <w:p>
            <w:pPr>
              <w:spacing w:after="0" w:line="20" w:lineRule="exact" w:before="0"/>
            </w:pPr>
          </w:p>
          <w:p>
            <w:pPr>
              <w:keepNext w:val="0"/>
              <w:widowControl w:val="0"/>
              <w:spacing w:before="0" w:after="100" w:line="4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36"/>
              </w:rPr>
              <w:t>Adrian Lv</w:t>
            </w:r>
          </w:p>
          <w:p>
            <w:pPr>
              <w:keepNext w:val="0"/>
              <w:widowControl w:val="0"/>
              <w:spacing w:before="0" w:after="10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0"/>
              </w:rPr>
              <w:t>吕俊泽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20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0"/>
              </w:rPr>
              <w:t>项目与实践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数据与实验</w:t>
            </w:r>
          </w:p>
          <w:p>
            <w:pPr>
              <w:keepNext w:val="0"/>
              <w:widowControl w:val="0"/>
              <w:spacing w:before="10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模型与科学计算</w:t>
            </w:r>
          </w:p>
          <w:p>
            <w:pPr>
              <w:keepNext w:val="0"/>
              <w:widowControl w:val="0"/>
              <w:spacing w:before="0" w:after="100" w:line="30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TensorFlow / NumPy / SciPy</w:t>
              <w:br/>
              <w:t>XGBoost / Random Forest</w:t>
              <w:br/>
              <w:t>HistGradientBoosting</w:t>
            </w:r>
          </w:p>
          <w:p>
            <w:pPr>
              <w:keepNext w:val="0"/>
              <w:widowControl w:val="0"/>
              <w:spacing w:before="10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实验工程</w:t>
            </w:r>
          </w:p>
          <w:p>
            <w:pPr>
              <w:keepNext w:val="0"/>
              <w:widowControl w:val="0"/>
              <w:spacing w:before="0" w:after="10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数据预处理与模型训练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br/>
              <w:t xml:space="preserve">CLI / YAML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配置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窗口提取与信号重建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回测、评估与结果展示</w:t>
            </w:r>
          </w:p>
          <w:p>
            <w:pPr>
              <w:keepNext w:val="0"/>
              <w:widowControl w:val="0"/>
              <w:spacing w:before="10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19"/>
              </w:rPr>
              <w:t>接口与账户</w:t>
            </w:r>
          </w:p>
          <w:p>
            <w:pPr>
              <w:keepNext w:val="0"/>
              <w:widowControl w:val="0"/>
              <w:spacing w:before="0" w:after="10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第三方地图与数据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API</w:t>
              <w:br/>
              <w:t>Google / GitHub OAuth</w:t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角色权限与账户数据归属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其他任职</w:t>
            </w:r>
          </w:p>
          <w:p>
            <w:pPr>
              <w:keepNext w:val="0"/>
              <w:widowControl w:val="0"/>
              <w:spacing w:before="0" w:after="100" w:line="32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20"/>
              </w:rPr>
              <w:t>成都喵艺游科技有限公司</w:t>
            </w:r>
          </w:p>
          <w:p>
            <w:pPr>
              <w:keepNext w:val="0"/>
              <w:widowControl w:val="0"/>
              <w:spacing w:before="0" w:after="6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20"/>
              </w:rPr>
              <w:t>监事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荣誉与竞赛</w:t>
            </w:r>
          </w:p>
          <w:p>
            <w:pPr>
              <w:keepNext w:val="0"/>
              <w:widowControl w:val="0"/>
              <w:spacing w:before="0" w:after="10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第十二届“东方财富杯”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全国大学生金融挑战赛</w:t>
            </w:r>
          </w:p>
          <w:p>
            <w:pPr>
              <w:keepNext w:val="0"/>
              <w:widowControl w:val="0"/>
              <w:spacing w:before="0" w:after="60" w:line="30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0"/>
              </w:rPr>
              <w:t>省赛三等奖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语言能力</w:t>
            </w:r>
          </w:p>
          <w:p>
            <w:pPr>
              <w:keepNext w:val="0"/>
              <w:widowControl w:val="0"/>
              <w:spacing w:before="0" w:after="60" w:line="32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中文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母语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br/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英语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/ CET-4</w:t>
            </w:r>
          </w:p>
          <w:p>
            <w:pPr>
              <w:keepNext/>
              <w:widowControl w:val="0"/>
              <w:spacing w:before="240" w:after="140" w:line="300" w:lineRule="exact"/>
              <w:snapToGrid w:val="0"/>
              <w:pBdr>
                <w:bottom w:val="single" w:sz="5" w:color="CFDAE5" w:space="4"/>
              </w:pBdr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21"/>
              </w:rPr>
              <w:t>更多作品</w:t>
            </w:r>
          </w:p>
          <w:p>
            <w:pPr>
              <w:keepNext w:val="0"/>
              <w:widowControl w:val="0"/>
              <w:spacing w:before="0" w:after="12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20"/>
              </w:rPr>
              <w:t>Authorized Digital Twin</w:t>
              <w:br/>
              <w:t>Lumina CD Player</w:t>
              <w:br/>
              <w:t>Remote Link Hub</w:t>
              <w:br/>
              <w:t>WeChat Reply Helper</w:t>
              <w:br/>
              <w:t>DuskRain Personal Site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2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20"/>
                </w:rPr>
                <w:t>github.com/ETO-ze</w:t>
              </w:r>
            </w:hyperlink>
          </w:p>
        </w:tc>
        <w:tc>
          <w:tcPr>
            <w:tcW w:type="dxa" w:w="340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after="0" w:line="20" w:lineRule="exact" w:before="0"/>
            </w:pPr>
          </w:p>
        </w:tc>
        <w:tc>
          <w:tcPr>
            <w:tcW w:type="dxa" w:w="7257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after="0" w:line="20" w:lineRule="exact" w:before="0"/>
            </w:pPr>
          </w:p>
          <w:p>
            <w:pPr>
              <w:keepNext w:val="0"/>
              <w:widowControl w:val="0"/>
              <w:spacing w:before="0" w:after="60" w:line="5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173A60"/>
                <w:sz w:val="42"/>
              </w:rPr>
              <w:t>项目经历</w:t>
            </w:r>
          </w:p>
          <w:p>
            <w:pPr>
              <w:keepNext w:val="0"/>
              <w:widowControl w:val="0"/>
              <w:spacing w:before="0" w:after="100" w:line="32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1"/>
              </w:rPr>
              <w:t>设备整合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21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1"/>
              </w:rPr>
              <w:t>数据工程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21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607387"/>
                <w:sz w:val="21"/>
              </w:rPr>
              <w:t>实验复现</w:t>
            </w:r>
          </w:p>
          <w:p>
            <w:pPr>
              <w:keepNext/>
              <w:widowControl w:val="0"/>
              <w:spacing w:before="180" w:after="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24"/>
              </w:rPr>
              <w:t>HoloCubic Hub</w:t>
            </w:r>
          </w:p>
          <w:p>
            <w:pPr>
              <w:keepNext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283748"/>
                <w:sz w:val="19"/>
              </w:rPr>
              <w:t xml:space="preserve">Windows </w:t>
            </w: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19"/>
              </w:rPr>
              <w:t>设备工作台与固件稳定性补丁</w:t>
            </w:r>
          </w:p>
          <w:p>
            <w:pPr>
              <w:keepNext/>
              <w:widowControl w:val="0"/>
              <w:spacing w:before="0" w:after="40" w:line="24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8"/>
              </w:rPr>
              <w:t>ESP32 / Python / USB / LVGL / PyInstaller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5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17"/>
                </w:rPr>
                <w:t>GitHub / holocubic-hub</w:t>
              </w:r>
            </w:hyperlink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围绕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HoloCubic / AIO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生态开发桌面工具、协议整合与固件补丁，统一设备配置、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Codex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状态桥接和后台运行。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定位应用切换时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LVGL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对象销毁后仍被访问的问题，调整界面重建；修正屏幕共享初始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ACK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与首帧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ACK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的处理顺序。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修正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Wi-Fi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断连后的过期连接状态，串行化设备操作以降低串口争用；实现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USB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发现、离线时钟同步与单文件分发。</w:t>
            </w:r>
          </w:p>
          <w:p>
            <w:pPr>
              <w:keepNext/>
              <w:widowControl w:val="0"/>
              <w:spacing w:before="180" w:after="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24"/>
              </w:rPr>
              <w:t>OpenClaw + Freqtrade</w:t>
            </w:r>
          </w:p>
          <w:p>
            <w:pPr>
              <w:keepNext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19"/>
              </w:rPr>
              <w:t>量化研究与运行控制平台</w:t>
            </w:r>
          </w:p>
          <w:p>
            <w:pPr>
              <w:keepNext/>
              <w:widowControl w:val="0"/>
              <w:spacing w:before="0" w:after="40" w:line="24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8"/>
              </w:rPr>
              <w:t>Python / Freqtrade / Vue 3 / Docker / XGBoost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6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17"/>
                </w:rPr>
                <w:t>GitHub / freqtrade-local</w:t>
              </w:r>
            </w:hyperlink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围绕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Freqtrade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串联本地市场数据缓存、动态标的筛选、多模型训练、候选回测和云端配置同步。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结合流动性、市值、波动率、资金费率及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BTC / ETH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市场状态进行筛选，集成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Random Forest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HistGradientBoosting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与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XGBoost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建立候选策略准入检查，综合收益、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>Profit Factor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、回撤、交易数与集中度；以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Vue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只读看板和本地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GUI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展示状态、管理进程及同步审批后的配置。</w:t>
            </w:r>
          </w:p>
          <w:p>
            <w:pPr>
              <w:keepNext/>
              <w:widowControl w:val="0"/>
              <w:spacing w:before="180" w:after="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24"/>
              </w:rPr>
              <w:t>DDAE Optimized</w:t>
            </w:r>
          </w:p>
          <w:p>
            <w:pPr>
              <w:keepNext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19"/>
              </w:rPr>
              <w:t>地震信号去噪实验工程化重构</w:t>
            </w:r>
          </w:p>
          <w:p>
            <w:pPr>
              <w:keepNext/>
              <w:widowControl w:val="0"/>
              <w:spacing w:before="0" w:after="40" w:line="24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8"/>
              </w:rPr>
              <w:t>TensorFlow / NumPy / SciPy / CLI / YAML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7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17"/>
                </w:rPr>
                <w:t>GitHub / DDAE_optimized</w:t>
              </w:r>
            </w:hyperlink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基于既有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DDAE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研究代码，将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Notebook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实验重构为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CLI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脚本、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YAML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配置和可复用数据流程，组织监督与自监督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/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无监督训练阶段。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为相关性损失加入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epsilon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、裁剪和可选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MSE anchor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；实现逐道窗口提取与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overlap-add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重建，统一训练和重建流程。</w:t>
            </w:r>
          </w:p>
          <w:p>
            <w:pPr>
              <w:keepNext/>
              <w:widowControl w:val="0"/>
              <w:spacing w:before="180" w:after="40" w:line="32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/>
                <w:color w:val="173A60"/>
                <w:sz w:val="24"/>
              </w:rPr>
              <w:t>Alpha Sentinel Local</w:t>
            </w:r>
          </w:p>
          <w:p>
            <w:pPr>
              <w:keepNext/>
              <w:widowControl w:val="0"/>
              <w:spacing w:before="0" w:after="60" w:line="280" w:lineRule="exact"/>
              <w:snapToGrid w:val="0"/>
            </w:pPr>
            <w:r>
              <w:rPr>
                <w:rFonts w:ascii="Times New Roman" w:hAnsi="Times New Roman" w:cs="Times New Roman" w:eastAsia="微软雅黑" w:hint="default"/>
                <w:b/>
                <w:color w:val="283748"/>
                <w:sz w:val="19"/>
              </w:rPr>
              <w:t>市场监控服务本地部署与整合</w:t>
            </w:r>
          </w:p>
          <w:p>
            <w:pPr>
              <w:keepNext/>
              <w:widowControl w:val="0"/>
              <w:spacing w:before="0" w:after="40" w:line="240" w:lineRule="exact"/>
              <w:snapToGrid w:val="0"/>
            </w:pPr>
            <w:r>
              <w:rPr>
                <w:rFonts w:ascii="Times New Roman" w:hAnsi="Times New Roman" w:cs="Times New Roman" w:eastAsia="Times New Roman" w:hint="default"/>
                <w:b w:val="0"/>
                <w:color w:val="607387"/>
                <w:sz w:val="18"/>
              </w:rPr>
              <w:t>Python / FastAPI / SQLite / Docker Compose / Streamlit</w:t>
            </w:r>
          </w:p>
          <w:p>
            <w:pPr>
              <w:keepNext w:val="0"/>
              <w:widowControl w:val="0"/>
              <w:spacing w:before="0" w:after="60" w:line="240" w:lineRule="exact"/>
              <w:snapToGrid w:val="0"/>
            </w:pPr>
            <w:hyperlink r:id="rId18">
              <w:r>
                <w:rPr>
                  <w:rFonts w:ascii="Times New Roman" w:hAnsi="Times New Roman" w:cs="Times New Roman" w:eastAsia="Times New Roman" w:hint="default"/>
                  <w:b w:val="0"/>
                  <w:color w:val="173A60"/>
                  <w:sz w:val="17"/>
                </w:rPr>
                <w:t>GitHub / alpha_sentinel_local</w:t>
              </w:r>
            </w:hyperlink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完成本地部署与接口整合，实现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TokenList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周期拉取、差异比较和告警记录，提供健康检查、状态查询与数据源控制接口。</w:t>
            </w:r>
          </w:p>
          <w:p>
            <w:pPr>
              <w:keepNext w:val="0"/>
              <w:widowControl w:val="0"/>
              <w:spacing w:before="0" w:after="80" w:line="294" w:lineRule="exact"/>
              <w:snapToGrid w:val="0"/>
              <w:ind w:left="160" w:hanging="160"/>
            </w:pP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•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集成交易对指标与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K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线展示；以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Docker Compose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组织服务，公开部分源码，并将完整</w:t>
            </w:r>
            <w:r>
              <w:rPr>
                <w:rFonts w:ascii="Times New Roman" w:hAnsi="Times New Roman" w:cs="Times New Roman" w:eastAsia="Times New Roman" w:hint="default"/>
                <w:b w:val="0"/>
                <w:color w:val="283748"/>
                <w:sz w:val="19"/>
              </w:rPr>
              <w:t xml:space="preserve"> UI </w:t>
            </w:r>
            <w:r>
              <w:rPr>
                <w:rFonts w:ascii="Times New Roman" w:hAnsi="Times New Roman" w:cs="Times New Roman" w:eastAsia="微软雅黑" w:hint="default"/>
                <w:b w:val="0"/>
                <w:color w:val="283748"/>
                <w:sz w:val="19"/>
              </w:rPr>
              <w:t>与私有运行配置分开管理。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footerReference w:type="default" r:id="rId19"/>
      <w:pgSz w:w="11906" w:h="16838"/>
      <w:pgMar w:top="709" w:right="680" w:bottom="680" w:left="680" w:header="227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color w:val="607387"/>
        <w:sz w:val="16"/>
      </w:rPr>
      <w:t xml:space="preserve">Adrian Lv | </w:t>
    </w:r>
    <w:fldSimple w:instr="PAGE">
      <w:r>
        <w:rPr>
          <w:rFonts w:ascii="Times New Roman" w:hAnsi="Times New Roman" w:eastAsia="Times New Roman" w:cs="Times New Roman"/>
          <w:sz w:val="16"/>
        </w:rPr>
        <w:t>1</w:t>
      </w:r>
    </w:fldSimple>
    <w:r>
      <w:rPr>
        <w:rFonts w:ascii="Times New Roman" w:hAnsi="Times New Roman"/>
        <w:color w:val="607387"/>
        <w:sz w:val="16"/>
      </w:rPr>
      <w:t xml:space="preserve"> / </w:t>
    </w:r>
    <w:fldSimple w:instr="NUMPAGES">
      <w:r>
        <w:rPr>
          <w:rFonts w:ascii="Times New Roman" w:hAnsi="Times New Roman" w:eastAsia="Times New Roman" w:cs="Times New Roman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line="300" w:lineRule="exact" w:after="60"/>
    </w:pPr>
    <w:rPr>
      <w:rFonts w:ascii="Times New Roman" w:hAnsi="Times New Roman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mailto:prdusk.com@gmail.com" TargetMode="External"/><Relationship Id="rId11" Type="http://schemas.openxmlformats.org/officeDocument/2006/relationships/hyperlink" Target="https://duskrain.cn" TargetMode="External"/><Relationship Id="rId12" Type="http://schemas.openxmlformats.org/officeDocument/2006/relationships/hyperlink" Target="https://github.com/ETO-ze" TargetMode="External"/><Relationship Id="rId13" Type="http://schemas.openxmlformats.org/officeDocument/2006/relationships/hyperlink" Target="https://github.com/ETO-ze/duskrain-food-map" TargetMode="External"/><Relationship Id="rId14" Type="http://schemas.openxmlformats.org/officeDocument/2006/relationships/hyperlink" Target="https://github.com/ETO-ze/codex-oled-status-display" TargetMode="External"/><Relationship Id="rId15" Type="http://schemas.openxmlformats.org/officeDocument/2006/relationships/hyperlink" Target="https://github.com/ETO-ze/holocubic-hub" TargetMode="External"/><Relationship Id="rId16" Type="http://schemas.openxmlformats.org/officeDocument/2006/relationships/hyperlink" Target="https://github.com/ETO-ze/freqtrade-local" TargetMode="External"/><Relationship Id="rId17" Type="http://schemas.openxmlformats.org/officeDocument/2006/relationships/hyperlink" Target="https://github.com/ETO-ze/DDAE_optimized" TargetMode="External"/><Relationship Id="rId18" Type="http://schemas.openxmlformats.org/officeDocument/2006/relationships/hyperlink" Target="https://github.com/ETO-ze/alpha_sentinel_local" TargetMode="External"/><Relationship Id="rId19" Type="http://schemas.openxmlformats.org/officeDocument/2006/relationships/footer" Target="footer1.xml"/><Relationship Id="rId2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 Lv - Chinese Resume with Clear Photo</dc:title>
  <dc:subject/>
  <dc:creator>Adrian Lv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